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0DA" w:rsidRPr="007260DA" w:rsidRDefault="007260DA" w:rsidP="007260DA">
      <w:pPr>
        <w:shd w:val="clear" w:color="auto" w:fill="F3F1F3"/>
        <w:spacing w:before="100" w:line="384" w:lineRule="atLeast"/>
        <w:ind w:firstLine="0"/>
        <w:jc w:val="left"/>
        <w:textAlignment w:val="baseline"/>
        <w:rPr>
          <w:rFonts w:ascii="Museo300" w:eastAsia="Times New Roman" w:hAnsi="Museo300" w:cs="Times New Roman"/>
          <w:color w:val="666666"/>
          <w:sz w:val="23"/>
          <w:szCs w:val="23"/>
          <w:lang w:eastAsia="ru-RU"/>
        </w:rPr>
      </w:pPr>
      <w:r w:rsidRPr="007260DA">
        <w:rPr>
          <w:rFonts w:ascii="Museo500" w:eastAsia="Times New Roman" w:hAnsi="Museo500" w:cs="Times New Roman"/>
          <w:b/>
          <w:bCs/>
          <w:color w:val="1D1D1D"/>
          <w:sz w:val="23"/>
          <w:lang w:eastAsia="ru-RU"/>
        </w:rPr>
        <w:t>Цель проекта Грант</w:t>
      </w:r>
    </w:p>
    <w:p w:rsidR="007260DA" w:rsidRPr="007260DA" w:rsidRDefault="007260DA" w:rsidP="007260DA">
      <w:pPr>
        <w:shd w:val="clear" w:color="auto" w:fill="F3F1F3"/>
        <w:spacing w:before="0" w:after="192" w:line="384" w:lineRule="atLeast"/>
        <w:ind w:firstLine="0"/>
        <w:jc w:val="left"/>
        <w:textAlignment w:val="baseline"/>
        <w:rPr>
          <w:rFonts w:ascii="Museo300" w:eastAsia="Times New Roman" w:hAnsi="Museo300" w:cs="Times New Roman"/>
          <w:color w:val="666666"/>
          <w:sz w:val="23"/>
          <w:szCs w:val="23"/>
          <w:lang w:eastAsia="ru-RU"/>
        </w:rPr>
      </w:pPr>
      <w:proofErr w:type="gramStart"/>
      <w:r w:rsidRPr="007260DA">
        <w:rPr>
          <w:rFonts w:ascii="Museo300" w:eastAsia="Times New Roman" w:hAnsi="Museo300" w:cs="Times New Roman"/>
          <w:color w:val="666666"/>
          <w:sz w:val="23"/>
          <w:szCs w:val="23"/>
          <w:lang w:eastAsia="ru-RU"/>
        </w:rPr>
        <w:t>Консорциумов производственного сектора (сельское хозяйство, добывающая промышленность, торговля; и (II) инновационных консорциумов</w:t>
      </w:r>
      <w:proofErr w:type="gramEnd"/>
    </w:p>
    <w:p w:rsidR="007260DA" w:rsidRPr="007260DA" w:rsidRDefault="007260DA" w:rsidP="007260DA">
      <w:pPr>
        <w:shd w:val="clear" w:color="auto" w:fill="F3F1F3"/>
        <w:spacing w:before="0" w:after="192" w:line="384" w:lineRule="atLeast"/>
        <w:ind w:firstLine="0"/>
        <w:jc w:val="left"/>
        <w:textAlignment w:val="baseline"/>
        <w:rPr>
          <w:rFonts w:ascii="Museo300" w:eastAsia="Times New Roman" w:hAnsi="Museo300" w:cs="Times New Roman"/>
          <w:color w:val="666666"/>
          <w:sz w:val="23"/>
          <w:szCs w:val="23"/>
          <w:lang w:eastAsia="ru-RU"/>
        </w:rPr>
      </w:pPr>
      <w:r w:rsidRPr="007260DA">
        <w:rPr>
          <w:rFonts w:ascii="Museo300" w:eastAsia="Times New Roman" w:hAnsi="Museo300" w:cs="Times New Roman"/>
          <w:color w:val="666666"/>
          <w:sz w:val="23"/>
          <w:szCs w:val="23"/>
          <w:lang w:eastAsia="ru-RU"/>
        </w:rPr>
        <w:t>Компонент 2 "инновационные консорциумы" считает реализацию Программы грантов для консорциумов производственного сектора и инновационных консорциумов.</w:t>
      </w:r>
    </w:p>
    <w:p w:rsidR="007260DA" w:rsidRPr="007260DA" w:rsidRDefault="007260DA" w:rsidP="007260DA">
      <w:pPr>
        <w:shd w:val="clear" w:color="auto" w:fill="F3F1F3"/>
        <w:spacing w:before="0" w:after="192" w:line="384" w:lineRule="atLeast"/>
        <w:ind w:firstLine="0"/>
        <w:jc w:val="left"/>
        <w:textAlignment w:val="baseline"/>
        <w:rPr>
          <w:rFonts w:ascii="Museo300" w:eastAsia="Times New Roman" w:hAnsi="Museo300" w:cs="Times New Roman"/>
          <w:color w:val="666666"/>
          <w:sz w:val="23"/>
          <w:szCs w:val="23"/>
          <w:lang w:eastAsia="ru-RU"/>
        </w:rPr>
      </w:pPr>
      <w:proofErr w:type="gramStart"/>
      <w:r w:rsidRPr="007260DA">
        <w:rPr>
          <w:rFonts w:ascii="Museo300" w:eastAsia="Times New Roman" w:hAnsi="Museo300" w:cs="Times New Roman"/>
          <w:color w:val="666666"/>
          <w:sz w:val="23"/>
          <w:szCs w:val="23"/>
          <w:lang w:eastAsia="ru-RU"/>
        </w:rPr>
        <w:t>Цель заключается в поощрении сотрудничества между существующими научно-исследовательских институтов и конструкторских бюро и научно-инженерного профиля лаборатории в области исследований и разработок в целях совершенствования производительных секторах экономики заемщика, путем предоставления грантов Консорциумов производственного сектора, а в отношении деятельности по оказанию социальных услуг, в том числе повышением уровня жизни городского и сельского населения, путем предоставления инновационных Консорциумов гранты.</w:t>
      </w:r>
      <w:proofErr w:type="gramEnd"/>
    </w:p>
    <w:p w:rsidR="007260DA" w:rsidRPr="007260DA" w:rsidRDefault="007260DA" w:rsidP="007260DA">
      <w:pPr>
        <w:shd w:val="clear" w:color="auto" w:fill="F3F1F3"/>
        <w:spacing w:before="0" w:after="192" w:line="384" w:lineRule="atLeast"/>
        <w:ind w:firstLine="0"/>
        <w:jc w:val="left"/>
        <w:textAlignment w:val="baseline"/>
        <w:rPr>
          <w:rFonts w:ascii="Museo300" w:eastAsia="Times New Roman" w:hAnsi="Museo300" w:cs="Times New Roman"/>
          <w:color w:val="666666"/>
          <w:sz w:val="23"/>
          <w:szCs w:val="23"/>
          <w:lang w:eastAsia="ru-RU"/>
        </w:rPr>
      </w:pPr>
      <w:r w:rsidRPr="007260DA">
        <w:rPr>
          <w:rFonts w:ascii="Museo300" w:eastAsia="Times New Roman" w:hAnsi="Museo300" w:cs="Times New Roman"/>
          <w:color w:val="666666"/>
          <w:sz w:val="23"/>
          <w:szCs w:val="23"/>
          <w:lang w:eastAsia="ru-RU"/>
        </w:rPr>
        <w:t xml:space="preserve">Компонент включает в себя два окна </w:t>
      </w:r>
      <w:proofErr w:type="gramStart"/>
      <w:r w:rsidRPr="007260DA">
        <w:rPr>
          <w:rFonts w:ascii="Museo300" w:eastAsia="Times New Roman" w:hAnsi="Museo300" w:cs="Times New Roman"/>
          <w:color w:val="666666"/>
          <w:sz w:val="23"/>
          <w:szCs w:val="23"/>
          <w:lang w:eastAsia="ru-RU"/>
        </w:rPr>
        <w:t>конкурсах</w:t>
      </w:r>
      <w:proofErr w:type="gramEnd"/>
      <w:r w:rsidRPr="007260DA">
        <w:rPr>
          <w:rFonts w:ascii="Museo300" w:eastAsia="Times New Roman" w:hAnsi="Museo300" w:cs="Times New Roman"/>
          <w:color w:val="666666"/>
          <w:sz w:val="23"/>
          <w:szCs w:val="23"/>
          <w:lang w:eastAsia="ru-RU"/>
        </w:rPr>
        <w:t>:</w:t>
      </w:r>
    </w:p>
    <w:p w:rsidR="007260DA" w:rsidRPr="007260DA" w:rsidRDefault="007260DA" w:rsidP="007260DA">
      <w:pPr>
        <w:shd w:val="clear" w:color="auto" w:fill="F3F1F3"/>
        <w:spacing w:before="0" w:after="192" w:line="384" w:lineRule="atLeast"/>
        <w:ind w:firstLine="0"/>
        <w:jc w:val="left"/>
        <w:textAlignment w:val="baseline"/>
        <w:rPr>
          <w:rFonts w:ascii="Museo300" w:eastAsia="Times New Roman" w:hAnsi="Museo300" w:cs="Times New Roman"/>
          <w:color w:val="666666"/>
          <w:sz w:val="23"/>
          <w:szCs w:val="23"/>
          <w:lang w:eastAsia="ru-RU"/>
        </w:rPr>
      </w:pPr>
      <w:r w:rsidRPr="007260DA">
        <w:rPr>
          <w:rFonts w:ascii="Museo300" w:eastAsia="Times New Roman" w:hAnsi="Museo300" w:cs="Times New Roman"/>
          <w:color w:val="666666"/>
          <w:sz w:val="23"/>
          <w:szCs w:val="23"/>
          <w:lang w:eastAsia="ru-RU"/>
        </w:rPr>
        <w:t>Консорциумов производственного сектора (сельское хозяйство, добывающие отрасли, Производство);</w:t>
      </w:r>
    </w:p>
    <w:p w:rsidR="007260DA" w:rsidRPr="007260DA" w:rsidRDefault="007260DA" w:rsidP="007260DA">
      <w:pPr>
        <w:shd w:val="clear" w:color="auto" w:fill="F3F1F3"/>
        <w:spacing w:before="0" w:after="192" w:line="384" w:lineRule="atLeast"/>
        <w:ind w:firstLine="0"/>
        <w:jc w:val="left"/>
        <w:textAlignment w:val="baseline"/>
        <w:rPr>
          <w:rFonts w:ascii="Museo300" w:eastAsia="Times New Roman" w:hAnsi="Museo300" w:cs="Times New Roman"/>
          <w:color w:val="666666"/>
          <w:sz w:val="23"/>
          <w:szCs w:val="23"/>
          <w:lang w:eastAsia="ru-RU"/>
        </w:rPr>
      </w:pPr>
      <w:r w:rsidRPr="007260DA">
        <w:rPr>
          <w:rFonts w:ascii="Museo300" w:eastAsia="Times New Roman" w:hAnsi="Museo300" w:cs="Times New Roman"/>
          <w:color w:val="666666"/>
          <w:sz w:val="23"/>
          <w:szCs w:val="23"/>
          <w:lang w:eastAsia="ru-RU"/>
        </w:rPr>
        <w:t>Инновационных консорциумов (здравоохранение, образование, водоснабжение, городской и сельской инфраструктуры).</w:t>
      </w:r>
    </w:p>
    <w:p w:rsidR="007260DA" w:rsidRPr="007260DA" w:rsidRDefault="007260DA" w:rsidP="007260DA">
      <w:pPr>
        <w:shd w:val="clear" w:color="auto" w:fill="F3F1F3"/>
        <w:spacing w:before="0" w:line="384" w:lineRule="atLeast"/>
        <w:ind w:firstLine="0"/>
        <w:jc w:val="left"/>
        <w:textAlignment w:val="baseline"/>
        <w:rPr>
          <w:rFonts w:ascii="Museo300" w:eastAsia="Times New Roman" w:hAnsi="Museo300" w:cs="Times New Roman"/>
          <w:color w:val="666666"/>
          <w:sz w:val="23"/>
          <w:szCs w:val="23"/>
          <w:lang w:eastAsia="ru-RU"/>
        </w:rPr>
      </w:pPr>
      <w:r w:rsidRPr="007260DA">
        <w:rPr>
          <w:rFonts w:ascii="Museo500" w:eastAsia="Times New Roman" w:hAnsi="Museo500" w:cs="Times New Roman"/>
          <w:b/>
          <w:bCs/>
          <w:color w:val="1D1D1D"/>
          <w:sz w:val="23"/>
          <w:lang w:eastAsia="ru-RU"/>
        </w:rPr>
        <w:t>Кто может участвовать?</w:t>
      </w:r>
    </w:p>
    <w:p w:rsidR="007260DA" w:rsidRPr="007260DA" w:rsidRDefault="007260DA" w:rsidP="007260DA">
      <w:pPr>
        <w:shd w:val="clear" w:color="auto" w:fill="F3F1F3"/>
        <w:spacing w:before="0" w:after="192" w:line="384" w:lineRule="atLeast"/>
        <w:ind w:firstLine="0"/>
        <w:jc w:val="left"/>
        <w:textAlignment w:val="baseline"/>
        <w:rPr>
          <w:rFonts w:ascii="Museo300" w:eastAsia="Times New Roman" w:hAnsi="Museo300" w:cs="Times New Roman"/>
          <w:color w:val="666666"/>
          <w:sz w:val="23"/>
          <w:szCs w:val="23"/>
          <w:lang w:eastAsia="ru-RU"/>
        </w:rPr>
      </w:pPr>
      <w:r w:rsidRPr="007260DA">
        <w:rPr>
          <w:rFonts w:ascii="Museo300" w:eastAsia="Times New Roman" w:hAnsi="Museo300" w:cs="Times New Roman"/>
          <w:color w:val="666666"/>
          <w:sz w:val="23"/>
          <w:szCs w:val="23"/>
          <w:lang w:eastAsia="ru-RU"/>
        </w:rPr>
        <w:t xml:space="preserve">Для участия в конкурсе группа из представителей науки, промышленности, бизнеса, государственного и </w:t>
      </w:r>
      <w:proofErr w:type="spellStart"/>
      <w:r w:rsidRPr="007260DA">
        <w:rPr>
          <w:rFonts w:ascii="Museo300" w:eastAsia="Times New Roman" w:hAnsi="Museo300" w:cs="Times New Roman"/>
          <w:color w:val="666666"/>
          <w:sz w:val="23"/>
          <w:szCs w:val="23"/>
          <w:lang w:eastAsia="ru-RU"/>
        </w:rPr>
        <w:t>квазигосударственного</w:t>
      </w:r>
      <w:proofErr w:type="spellEnd"/>
      <w:r w:rsidRPr="007260DA">
        <w:rPr>
          <w:rFonts w:ascii="Museo300" w:eastAsia="Times New Roman" w:hAnsi="Museo300" w:cs="Times New Roman"/>
          <w:color w:val="666666"/>
          <w:sz w:val="23"/>
          <w:szCs w:val="23"/>
          <w:lang w:eastAsia="ru-RU"/>
        </w:rPr>
        <w:t xml:space="preserve"> сектора, национального и иностранных некоммерческих и неправительственных организаций, которые приглашены сформировать консорциум для успешной реализации совместных проектов.</w:t>
      </w:r>
    </w:p>
    <w:p w:rsidR="007260DA" w:rsidRPr="007260DA" w:rsidRDefault="007260DA" w:rsidP="007260DA">
      <w:pPr>
        <w:shd w:val="clear" w:color="auto" w:fill="F3F1F3"/>
        <w:spacing w:before="0" w:line="384" w:lineRule="atLeast"/>
        <w:ind w:firstLine="0"/>
        <w:jc w:val="left"/>
        <w:textAlignment w:val="baseline"/>
        <w:rPr>
          <w:rFonts w:ascii="Museo300" w:eastAsia="Times New Roman" w:hAnsi="Museo300" w:cs="Times New Roman"/>
          <w:color w:val="666666"/>
          <w:sz w:val="23"/>
          <w:szCs w:val="23"/>
          <w:lang w:eastAsia="ru-RU"/>
        </w:rPr>
      </w:pPr>
      <w:r w:rsidRPr="007260DA">
        <w:rPr>
          <w:rFonts w:ascii="Museo500" w:eastAsia="Times New Roman" w:hAnsi="Museo500" w:cs="Times New Roman"/>
          <w:b/>
          <w:bCs/>
          <w:color w:val="1D1D1D"/>
          <w:sz w:val="23"/>
          <w:lang w:eastAsia="ru-RU"/>
        </w:rPr>
        <w:t>Как подать заявку на проект?</w:t>
      </w:r>
    </w:p>
    <w:p w:rsidR="007260DA" w:rsidRPr="007260DA" w:rsidRDefault="007260DA" w:rsidP="007260DA">
      <w:pPr>
        <w:shd w:val="clear" w:color="auto" w:fill="F3F1F3"/>
        <w:spacing w:before="0" w:after="192" w:line="384" w:lineRule="atLeast"/>
        <w:ind w:firstLine="0"/>
        <w:jc w:val="left"/>
        <w:textAlignment w:val="baseline"/>
        <w:rPr>
          <w:rFonts w:ascii="Museo300" w:eastAsia="Times New Roman" w:hAnsi="Museo300" w:cs="Times New Roman"/>
          <w:color w:val="666666"/>
          <w:sz w:val="23"/>
          <w:szCs w:val="23"/>
          <w:lang w:eastAsia="ru-RU"/>
        </w:rPr>
      </w:pPr>
      <w:r w:rsidRPr="007260DA">
        <w:rPr>
          <w:rFonts w:ascii="Museo300" w:eastAsia="Times New Roman" w:hAnsi="Museo300" w:cs="Times New Roman"/>
          <w:color w:val="666666"/>
          <w:sz w:val="23"/>
          <w:szCs w:val="23"/>
          <w:lang w:eastAsia="ru-RU"/>
        </w:rPr>
        <w:t xml:space="preserve">Гранты для ПСК и МСК будет предоставлена на конкурсной основе после проведения экспертизы независимой Международной науки и коммерциализации Совета (участники </w:t>
      </w:r>
      <w:proofErr w:type="spellStart"/>
      <w:r w:rsidRPr="007260DA">
        <w:rPr>
          <w:rFonts w:ascii="Museo300" w:eastAsia="Times New Roman" w:hAnsi="Museo300" w:cs="Times New Roman"/>
          <w:color w:val="666666"/>
          <w:sz w:val="23"/>
          <w:szCs w:val="23"/>
          <w:lang w:eastAsia="ru-RU"/>
        </w:rPr>
        <w:t>icsb</w:t>
      </w:r>
      <w:proofErr w:type="spellEnd"/>
      <w:r w:rsidRPr="007260DA">
        <w:rPr>
          <w:rFonts w:ascii="Museo300" w:eastAsia="Times New Roman" w:hAnsi="Museo300" w:cs="Times New Roman"/>
          <w:color w:val="666666"/>
          <w:sz w:val="23"/>
          <w:szCs w:val="23"/>
          <w:lang w:eastAsia="ru-RU"/>
        </w:rPr>
        <w:t>).</w:t>
      </w:r>
    </w:p>
    <w:p w:rsidR="007260DA" w:rsidRPr="007260DA" w:rsidRDefault="007260DA" w:rsidP="007260DA">
      <w:pPr>
        <w:shd w:val="clear" w:color="auto" w:fill="F3F1F3"/>
        <w:spacing w:before="0" w:after="192" w:line="384" w:lineRule="atLeast"/>
        <w:ind w:firstLine="0"/>
        <w:jc w:val="left"/>
        <w:textAlignment w:val="baseline"/>
        <w:rPr>
          <w:rFonts w:ascii="Museo300" w:eastAsia="Times New Roman" w:hAnsi="Museo300" w:cs="Times New Roman"/>
          <w:color w:val="666666"/>
          <w:sz w:val="23"/>
          <w:szCs w:val="23"/>
          <w:lang w:eastAsia="ru-RU"/>
        </w:rPr>
      </w:pPr>
      <w:r w:rsidRPr="007260DA">
        <w:rPr>
          <w:rFonts w:ascii="Museo300" w:eastAsia="Times New Roman" w:hAnsi="Museo300" w:cs="Times New Roman"/>
          <w:color w:val="666666"/>
          <w:sz w:val="23"/>
          <w:szCs w:val="23"/>
          <w:lang w:eastAsia="ru-RU"/>
        </w:rPr>
        <w:t>В целях обеспечения единообразного применения системы подачи, оценки и контроля заявок будет осуществляться через специально созданный портал, интегрированный в сайт.</w:t>
      </w:r>
    </w:p>
    <w:p w:rsidR="007260DA" w:rsidRPr="007260DA" w:rsidRDefault="007260DA" w:rsidP="007260DA">
      <w:pPr>
        <w:shd w:val="clear" w:color="auto" w:fill="F3F1F3"/>
        <w:spacing w:before="0" w:after="192" w:line="384" w:lineRule="atLeast"/>
        <w:ind w:firstLine="0"/>
        <w:jc w:val="left"/>
        <w:textAlignment w:val="baseline"/>
        <w:rPr>
          <w:rFonts w:ascii="Museo300" w:eastAsia="Times New Roman" w:hAnsi="Museo300" w:cs="Times New Roman"/>
          <w:color w:val="666666"/>
          <w:sz w:val="23"/>
          <w:szCs w:val="23"/>
          <w:lang w:eastAsia="ru-RU"/>
        </w:rPr>
      </w:pPr>
      <w:r w:rsidRPr="007260DA">
        <w:rPr>
          <w:rFonts w:ascii="Museo300" w:eastAsia="Times New Roman" w:hAnsi="Museo300" w:cs="Times New Roman"/>
          <w:color w:val="666666"/>
          <w:sz w:val="23"/>
          <w:szCs w:val="23"/>
          <w:lang w:eastAsia="ru-RU"/>
        </w:rPr>
        <w:t>Объявление о дате начала приема заявок будет опубликован в СМИ, на сайте Министерства образования и науки, а также на сайте проекта.</w:t>
      </w:r>
    </w:p>
    <w:p w:rsidR="007260DA" w:rsidRPr="007260DA" w:rsidRDefault="007260DA" w:rsidP="007260DA">
      <w:pPr>
        <w:shd w:val="clear" w:color="auto" w:fill="F3F1F3"/>
        <w:spacing w:before="0" w:line="384" w:lineRule="atLeast"/>
        <w:ind w:firstLine="0"/>
        <w:jc w:val="left"/>
        <w:textAlignment w:val="baseline"/>
        <w:rPr>
          <w:rFonts w:ascii="Museo300" w:eastAsia="Times New Roman" w:hAnsi="Museo300" w:cs="Times New Roman"/>
          <w:color w:val="666666"/>
          <w:sz w:val="23"/>
          <w:szCs w:val="23"/>
          <w:lang w:eastAsia="ru-RU"/>
        </w:rPr>
      </w:pPr>
      <w:r w:rsidRPr="007260DA">
        <w:rPr>
          <w:rFonts w:ascii="Museo300" w:eastAsia="Times New Roman" w:hAnsi="Museo300" w:cs="Times New Roman"/>
          <w:color w:val="666666"/>
          <w:sz w:val="23"/>
          <w:szCs w:val="23"/>
          <w:lang w:eastAsia="ru-RU"/>
        </w:rPr>
        <w:t xml:space="preserve">Кроме "инновационный консорциум" </w:t>
      </w:r>
      <w:proofErr w:type="spellStart"/>
      <w:r w:rsidRPr="007260DA">
        <w:rPr>
          <w:rFonts w:ascii="Museo300" w:eastAsia="Times New Roman" w:hAnsi="Museo300" w:cs="Times New Roman"/>
          <w:color w:val="666666"/>
          <w:sz w:val="23"/>
          <w:szCs w:val="23"/>
          <w:lang w:eastAsia="ru-RU"/>
        </w:rPr>
        <w:t>грантовая</w:t>
      </w:r>
      <w:proofErr w:type="spellEnd"/>
      <w:r w:rsidRPr="007260DA">
        <w:rPr>
          <w:rFonts w:ascii="Museo300" w:eastAsia="Times New Roman" w:hAnsi="Museo300" w:cs="Times New Roman"/>
          <w:color w:val="666666"/>
          <w:sz w:val="23"/>
          <w:szCs w:val="23"/>
          <w:lang w:eastAsia="ru-RU"/>
        </w:rPr>
        <w:t xml:space="preserve"> программа, поищите Другие </w:t>
      </w:r>
      <w:proofErr w:type="gramStart"/>
      <w:r w:rsidRPr="007260DA">
        <w:rPr>
          <w:rFonts w:ascii="Museo300" w:eastAsia="Times New Roman" w:hAnsi="Museo300" w:cs="Times New Roman"/>
          <w:color w:val="666666"/>
          <w:sz w:val="23"/>
          <w:szCs w:val="23"/>
          <w:lang w:eastAsia="ru-RU"/>
        </w:rPr>
        <w:t>программы</w:t>
      </w:r>
      <w:proofErr w:type="gramEnd"/>
      <w:r w:rsidRPr="007260DA">
        <w:rPr>
          <w:rFonts w:ascii="Museo300" w:eastAsia="Times New Roman" w:hAnsi="Museo300" w:cs="Times New Roman"/>
          <w:color w:val="666666"/>
          <w:sz w:val="23"/>
          <w:szCs w:val="23"/>
          <w:lang w:eastAsia="ru-RU"/>
        </w:rPr>
        <w:t xml:space="preserve"> предоставляется грант на этот проект.</w:t>
      </w:r>
    </w:p>
    <w:p w:rsidR="007260DA" w:rsidRPr="007260DA" w:rsidRDefault="007260DA" w:rsidP="007260DA">
      <w:pPr>
        <w:shd w:val="clear" w:color="auto" w:fill="F3F1F3"/>
        <w:spacing w:before="0" w:afterAutospacing="1" w:line="365" w:lineRule="atLeast"/>
        <w:ind w:firstLine="0"/>
        <w:jc w:val="left"/>
        <w:textAlignment w:val="baseline"/>
        <w:outlineLvl w:val="2"/>
        <w:rPr>
          <w:rFonts w:ascii="Museo500" w:eastAsia="Times New Roman" w:hAnsi="Museo500" w:cs="Times New Roman"/>
          <w:color w:val="1D1D1D"/>
          <w:sz w:val="38"/>
          <w:szCs w:val="38"/>
          <w:lang w:eastAsia="ru-RU"/>
        </w:rPr>
      </w:pPr>
      <w:proofErr w:type="spellStart"/>
      <w:r w:rsidRPr="007260DA">
        <w:rPr>
          <w:rFonts w:ascii="Museo500" w:eastAsia="Times New Roman" w:hAnsi="Museo500" w:cs="Times New Roman"/>
          <w:color w:val="1D1D1D"/>
          <w:sz w:val="38"/>
          <w:szCs w:val="38"/>
          <w:bdr w:val="none" w:sz="0" w:space="0" w:color="auto" w:frame="1"/>
          <w:lang w:eastAsia="ru-RU"/>
        </w:rPr>
        <w:t>Грантовые</w:t>
      </w:r>
      <w:proofErr w:type="spellEnd"/>
      <w:r w:rsidRPr="007260DA">
        <w:rPr>
          <w:rFonts w:ascii="Museo500" w:eastAsia="Times New Roman" w:hAnsi="Museo500" w:cs="Times New Roman"/>
          <w:color w:val="1D1D1D"/>
          <w:sz w:val="38"/>
          <w:szCs w:val="38"/>
          <w:bdr w:val="none" w:sz="0" w:space="0" w:color="auto" w:frame="1"/>
          <w:lang w:eastAsia="ru-RU"/>
        </w:rPr>
        <w:t xml:space="preserve"> Программы</w:t>
      </w:r>
    </w:p>
    <w:p w:rsidR="007260DA" w:rsidRPr="007260DA" w:rsidRDefault="007260DA" w:rsidP="007260DA">
      <w:pPr>
        <w:numPr>
          <w:ilvl w:val="0"/>
          <w:numId w:val="1"/>
        </w:numPr>
        <w:shd w:val="clear" w:color="auto" w:fill="F3F1F3"/>
        <w:spacing w:before="0" w:line="384" w:lineRule="atLeast"/>
        <w:ind w:left="480"/>
        <w:jc w:val="left"/>
        <w:textAlignment w:val="baseline"/>
        <w:outlineLvl w:val="3"/>
        <w:rPr>
          <w:rFonts w:ascii="Museo300" w:eastAsia="Times New Roman" w:hAnsi="Museo300" w:cs="Times New Roman"/>
          <w:b/>
          <w:bCs/>
          <w:color w:val="444444"/>
          <w:sz w:val="23"/>
          <w:szCs w:val="23"/>
          <w:lang w:eastAsia="ru-RU"/>
        </w:rPr>
      </w:pPr>
      <w:hyperlink r:id="rId5" w:history="1">
        <w:proofErr w:type="spellStart"/>
        <w:r w:rsidRPr="007260DA">
          <w:rPr>
            <w:rFonts w:ascii="Museo500" w:eastAsia="Times New Roman" w:hAnsi="Museo500" w:cs="Times New Roman"/>
            <w:color w:val="1D1D1D"/>
            <w:sz w:val="25"/>
            <w:lang w:eastAsia="ru-RU"/>
          </w:rPr>
          <w:t>Srg</w:t>
        </w:r>
        <w:proofErr w:type="spellEnd"/>
        <w:r w:rsidRPr="007260DA">
          <w:rPr>
            <w:rFonts w:ascii="Museo500" w:eastAsia="Times New Roman" w:hAnsi="Museo500" w:cs="Times New Roman"/>
            <w:color w:val="1D1D1D"/>
            <w:sz w:val="25"/>
            <w:lang w:eastAsia="ru-RU"/>
          </w:rPr>
          <w:t xml:space="preserve"> и сиг</w:t>
        </w:r>
      </w:hyperlink>
    </w:p>
    <w:p w:rsidR="007260DA" w:rsidRPr="007260DA" w:rsidRDefault="007260DA" w:rsidP="007260DA">
      <w:pPr>
        <w:numPr>
          <w:ilvl w:val="0"/>
          <w:numId w:val="1"/>
        </w:numPr>
        <w:shd w:val="clear" w:color="auto" w:fill="F3F1F3"/>
        <w:spacing w:before="0" w:line="384" w:lineRule="atLeast"/>
        <w:ind w:left="480"/>
        <w:jc w:val="left"/>
        <w:textAlignment w:val="baseline"/>
        <w:outlineLvl w:val="3"/>
        <w:rPr>
          <w:rFonts w:ascii="Museo300" w:eastAsia="Times New Roman" w:hAnsi="Museo300" w:cs="Times New Roman"/>
          <w:b/>
          <w:bCs/>
          <w:color w:val="444444"/>
          <w:sz w:val="23"/>
          <w:szCs w:val="23"/>
          <w:lang w:eastAsia="ru-RU"/>
        </w:rPr>
      </w:pPr>
      <w:hyperlink r:id="rId6" w:history="1">
        <w:r w:rsidRPr="007260DA">
          <w:rPr>
            <w:rFonts w:ascii="Museo500" w:eastAsia="Times New Roman" w:hAnsi="Museo500" w:cs="Times New Roman"/>
            <w:color w:val="1D1D1D"/>
            <w:sz w:val="25"/>
            <w:lang w:eastAsia="ru-RU"/>
          </w:rPr>
          <w:t>Кандидат</w:t>
        </w:r>
      </w:hyperlink>
    </w:p>
    <w:p w:rsidR="007260DA" w:rsidRPr="007260DA" w:rsidRDefault="007260DA" w:rsidP="007260DA">
      <w:pPr>
        <w:numPr>
          <w:ilvl w:val="0"/>
          <w:numId w:val="1"/>
        </w:numPr>
        <w:shd w:val="clear" w:color="auto" w:fill="F3F1F3"/>
        <w:spacing w:before="0" w:line="384" w:lineRule="atLeast"/>
        <w:ind w:left="480"/>
        <w:jc w:val="left"/>
        <w:textAlignment w:val="baseline"/>
        <w:outlineLvl w:val="3"/>
        <w:rPr>
          <w:rFonts w:ascii="Museo300" w:eastAsia="Times New Roman" w:hAnsi="Museo300" w:cs="Times New Roman"/>
          <w:b/>
          <w:bCs/>
          <w:color w:val="444444"/>
          <w:sz w:val="23"/>
          <w:szCs w:val="23"/>
          <w:lang w:eastAsia="ru-RU"/>
        </w:rPr>
      </w:pPr>
      <w:hyperlink r:id="rId7" w:history="1">
        <w:r w:rsidRPr="007260DA">
          <w:rPr>
            <w:rFonts w:ascii="Museo500" w:eastAsia="Times New Roman" w:hAnsi="Museo500" w:cs="Times New Roman"/>
            <w:color w:val="1D1D1D"/>
            <w:sz w:val="25"/>
            <w:lang w:eastAsia="ru-RU"/>
          </w:rPr>
          <w:t>Консорциумы</w:t>
        </w:r>
      </w:hyperlink>
    </w:p>
    <w:p w:rsidR="007260DA" w:rsidRDefault="007260DA" w:rsidP="007260DA">
      <w:pPr>
        <w:pStyle w:val="1"/>
        <w:shd w:val="clear" w:color="auto" w:fill="F3F1F3"/>
        <w:spacing w:before="576" w:line="384" w:lineRule="atLeast"/>
        <w:textAlignment w:val="baseline"/>
        <w:rPr>
          <w:rFonts w:ascii="Museo500" w:hAnsi="Museo500"/>
          <w:b w:val="0"/>
          <w:bCs w:val="0"/>
          <w:color w:val="1D1D1D"/>
          <w:sz w:val="46"/>
          <w:szCs w:val="46"/>
        </w:rPr>
      </w:pPr>
      <w:r>
        <w:rPr>
          <w:rFonts w:ascii="Museo500" w:hAnsi="Museo500"/>
          <w:b w:val="0"/>
          <w:bCs w:val="0"/>
          <w:color w:val="1D1D1D"/>
          <w:sz w:val="46"/>
          <w:szCs w:val="46"/>
        </w:rPr>
        <w:t>Консорциумы в инновации</w:t>
      </w:r>
    </w:p>
    <w:p w:rsidR="007260DA" w:rsidRDefault="007260DA" w:rsidP="007260DA">
      <w:pPr>
        <w:pStyle w:val="a3"/>
        <w:shd w:val="clear" w:color="auto" w:fill="F3F1F3"/>
        <w:spacing w:before="0" w:beforeAutospacing="0" w:after="192" w:afterAutospacing="0" w:line="384" w:lineRule="atLeast"/>
        <w:textAlignment w:val="baseline"/>
        <w:rPr>
          <w:rFonts w:ascii="Museo300" w:hAnsi="Museo300"/>
          <w:color w:val="666666"/>
          <w:sz w:val="23"/>
          <w:szCs w:val="23"/>
        </w:rPr>
      </w:pPr>
    </w:p>
    <w:p w:rsidR="007260DA" w:rsidRDefault="007260DA" w:rsidP="007260DA">
      <w:pPr>
        <w:pStyle w:val="a3"/>
        <w:shd w:val="clear" w:color="auto" w:fill="F3F1F3"/>
        <w:spacing w:before="0" w:beforeAutospacing="0" w:after="0" w:afterAutospacing="0" w:line="384" w:lineRule="atLeast"/>
        <w:jc w:val="both"/>
        <w:textAlignment w:val="baseline"/>
        <w:rPr>
          <w:rFonts w:ascii="Museo300" w:hAnsi="Museo300"/>
          <w:color w:val="666666"/>
          <w:sz w:val="23"/>
          <w:szCs w:val="23"/>
        </w:rPr>
      </w:pPr>
      <w:r>
        <w:rPr>
          <w:rStyle w:val="a4"/>
          <w:rFonts w:ascii="Museo500" w:hAnsi="Museo500"/>
          <w:color w:val="1D1D1D"/>
          <w:sz w:val="23"/>
          <w:szCs w:val="23"/>
          <w:bdr w:val="none" w:sz="0" w:space="0" w:color="auto" w:frame="1"/>
        </w:rPr>
        <w:t>Что такое консорциум? Международный опыт создания консорциумов.</w:t>
      </w:r>
    </w:p>
    <w:p w:rsidR="007260DA" w:rsidRDefault="007260DA" w:rsidP="007260DA">
      <w:pPr>
        <w:pStyle w:val="a3"/>
        <w:shd w:val="clear" w:color="auto" w:fill="F3F1F3"/>
        <w:spacing w:before="0" w:beforeAutospacing="0" w:after="192" w:afterAutospacing="0" w:line="384" w:lineRule="atLeast"/>
        <w:jc w:val="both"/>
        <w:textAlignment w:val="baseline"/>
        <w:rPr>
          <w:rFonts w:ascii="Museo300" w:hAnsi="Museo300"/>
          <w:color w:val="666666"/>
          <w:sz w:val="23"/>
          <w:szCs w:val="23"/>
        </w:rPr>
      </w:pPr>
      <w:r>
        <w:rPr>
          <w:rFonts w:ascii="Museo300" w:hAnsi="Museo300"/>
          <w:color w:val="666666"/>
          <w:sz w:val="23"/>
          <w:szCs w:val="23"/>
        </w:rPr>
        <w:t>Развитие новых технологий и продвижение инноваций в разных странах, основанные на общих интересах, являются полезным инструментом для объединения ресурсов и распределения затрат и рисков, связанных с поиском, переработкой и реализацией конкурентоспособных инноваций.</w:t>
      </w:r>
    </w:p>
    <w:p w:rsidR="007260DA" w:rsidRDefault="007260DA" w:rsidP="007260DA">
      <w:pPr>
        <w:pStyle w:val="a3"/>
        <w:shd w:val="clear" w:color="auto" w:fill="F3F1F3"/>
        <w:spacing w:before="0" w:beforeAutospacing="0" w:after="192" w:afterAutospacing="0" w:line="384" w:lineRule="atLeast"/>
        <w:jc w:val="both"/>
        <w:textAlignment w:val="baseline"/>
        <w:rPr>
          <w:rFonts w:ascii="Museo300" w:hAnsi="Museo300"/>
          <w:color w:val="666666"/>
          <w:sz w:val="23"/>
          <w:szCs w:val="23"/>
        </w:rPr>
      </w:pPr>
      <w:r>
        <w:rPr>
          <w:rFonts w:ascii="Museo300" w:hAnsi="Museo300"/>
          <w:color w:val="666666"/>
          <w:sz w:val="23"/>
          <w:szCs w:val="23"/>
        </w:rPr>
        <w:t>Организационно-правовой формой консорциума могут различаться и степень их стабильности также довольно разные. Некоторые из них надежные агентства с долгой историей, в то время как другие краткосрочных альянсов с членами налаживание партнерских отношений впервые.</w:t>
      </w:r>
    </w:p>
    <w:p w:rsidR="007260DA" w:rsidRDefault="007260DA" w:rsidP="007260DA">
      <w:pPr>
        <w:pStyle w:val="a3"/>
        <w:shd w:val="clear" w:color="auto" w:fill="F3F1F3"/>
        <w:spacing w:before="0" w:beforeAutospacing="0" w:after="192" w:afterAutospacing="0" w:line="384" w:lineRule="atLeast"/>
        <w:jc w:val="both"/>
        <w:textAlignment w:val="baseline"/>
        <w:rPr>
          <w:rFonts w:ascii="Museo300" w:hAnsi="Museo300"/>
          <w:color w:val="666666"/>
          <w:sz w:val="23"/>
          <w:szCs w:val="23"/>
        </w:rPr>
      </w:pPr>
      <w:r>
        <w:rPr>
          <w:rFonts w:ascii="Museo300" w:hAnsi="Museo300"/>
          <w:color w:val="666666"/>
          <w:sz w:val="23"/>
          <w:szCs w:val="23"/>
        </w:rPr>
        <w:t>Три разных примеров консорциумов можно отнести следующие: они очень похожи друг на друга, но отличаются от их мотивации и композицию, которая подтверждает широкую применимость базовая модель для любого взаимовыгодного сочетания интересов.</w:t>
      </w:r>
    </w:p>
    <w:p w:rsidR="007260DA" w:rsidRDefault="007260DA" w:rsidP="007260DA">
      <w:pPr>
        <w:pStyle w:val="a3"/>
        <w:shd w:val="clear" w:color="auto" w:fill="F3F1F3"/>
        <w:spacing w:before="0" w:beforeAutospacing="0" w:after="192" w:afterAutospacing="0" w:line="384" w:lineRule="atLeast"/>
        <w:jc w:val="both"/>
        <w:textAlignment w:val="baseline"/>
        <w:rPr>
          <w:rFonts w:ascii="Museo300" w:hAnsi="Museo300"/>
          <w:color w:val="666666"/>
          <w:sz w:val="23"/>
          <w:szCs w:val="23"/>
        </w:rPr>
      </w:pPr>
      <w:proofErr w:type="gramStart"/>
      <w:r>
        <w:rPr>
          <w:rFonts w:ascii="Museo300" w:hAnsi="Museo300"/>
          <w:color w:val="666666"/>
          <w:sz w:val="23"/>
          <w:szCs w:val="23"/>
        </w:rPr>
        <w:t>Первый пример относится к Чилийское вино сектор, где в первом десятилетии этого тысячелетия, в ответ на начало новой государственной программы по поддержке альянсов между учеными и производственным сектором был проведен конкурс проектов, что привело к созданию двух консорциумов.</w:t>
      </w:r>
      <w:proofErr w:type="gramEnd"/>
      <w:r>
        <w:rPr>
          <w:rFonts w:ascii="Museo300" w:hAnsi="Museo300"/>
          <w:color w:val="666666"/>
          <w:sz w:val="23"/>
          <w:szCs w:val="23"/>
        </w:rPr>
        <w:t xml:space="preserve"> </w:t>
      </w:r>
      <w:proofErr w:type="gramStart"/>
      <w:r>
        <w:rPr>
          <w:rFonts w:ascii="Museo300" w:hAnsi="Museo300"/>
          <w:color w:val="666666"/>
          <w:sz w:val="23"/>
          <w:szCs w:val="23"/>
        </w:rPr>
        <w:t>Один из них представляет собой группу компаний и агрономов, которые работали в университете, которые занимались методы выращивания винограда, а другая группа разных компаний и ученых, которые были заинтересованы в технологии производства вина.</w:t>
      </w:r>
      <w:proofErr w:type="gramEnd"/>
      <w:r>
        <w:rPr>
          <w:rStyle w:val="apple-converted-space"/>
          <w:rFonts w:ascii="Museo300" w:hAnsi="Museo300"/>
          <w:color w:val="666666"/>
          <w:sz w:val="23"/>
          <w:szCs w:val="23"/>
        </w:rPr>
        <w:t> </w:t>
      </w:r>
      <w:r>
        <w:rPr>
          <w:rFonts w:ascii="Museo300" w:hAnsi="Museo300"/>
          <w:color w:val="666666"/>
          <w:sz w:val="23"/>
          <w:szCs w:val="23"/>
        </w:rPr>
        <w:t>После короткого периода совместной работы, двух консорциумов решили объединить, поскольку компании начали понимать выгоду от работы с вузами и необходимость инноваций в области выращивания винограда и производства вина. Чили в настоящее время является источником высококачественных вин, которые продаются по всему миру.</w:t>
      </w:r>
    </w:p>
    <w:p w:rsidR="007260DA" w:rsidRDefault="007260DA" w:rsidP="007260DA">
      <w:pPr>
        <w:pStyle w:val="a3"/>
        <w:shd w:val="clear" w:color="auto" w:fill="F3F1F3"/>
        <w:spacing w:before="0" w:beforeAutospacing="0" w:after="192" w:afterAutospacing="0" w:line="384" w:lineRule="atLeast"/>
        <w:jc w:val="both"/>
        <w:textAlignment w:val="baseline"/>
        <w:rPr>
          <w:rFonts w:ascii="Museo300" w:hAnsi="Museo300"/>
          <w:color w:val="666666"/>
          <w:sz w:val="23"/>
          <w:szCs w:val="23"/>
        </w:rPr>
      </w:pPr>
      <w:r>
        <w:rPr>
          <w:rFonts w:ascii="Museo300" w:hAnsi="Museo300"/>
          <w:color w:val="666666"/>
          <w:sz w:val="23"/>
          <w:szCs w:val="23"/>
        </w:rPr>
        <w:t xml:space="preserve">Второй пример взят из отрасли бытовая техника в Мексике, которая стимулируется в рамках программы, финансируемой государством, что требует создания альянсов ученых и технологов университетов и государственных исследовательских центров и производственного сектора. В этом случае только компании «МАБЭ», который производит широкий ассортимент кухонных плит, холодильников и другой бытовой техникой для внутреннего рынка и экспортирует большую часть своей продукции на конкурентные рынки в </w:t>
      </w:r>
      <w:r>
        <w:rPr>
          <w:rFonts w:ascii="Museo300" w:hAnsi="Museo300"/>
          <w:color w:val="666666"/>
          <w:sz w:val="23"/>
          <w:szCs w:val="23"/>
        </w:rPr>
        <w:lastRenderedPageBreak/>
        <w:t>странах со средним уровнем дохода.</w:t>
      </w:r>
      <w:r>
        <w:rPr>
          <w:rStyle w:val="apple-converted-space"/>
          <w:rFonts w:ascii="Museo300" w:hAnsi="Museo300"/>
          <w:color w:val="666666"/>
          <w:sz w:val="23"/>
          <w:szCs w:val="23"/>
        </w:rPr>
        <w:t> </w:t>
      </w:r>
      <w:r>
        <w:rPr>
          <w:rFonts w:ascii="Museo300" w:hAnsi="Museo300"/>
          <w:color w:val="666666"/>
          <w:sz w:val="23"/>
          <w:szCs w:val="23"/>
        </w:rPr>
        <w:t xml:space="preserve">Компания подписала контракт с большим количеством ученых, чтобы исследовать различные аспекты своего продукта и объема производства. В область исследований входит: </w:t>
      </w:r>
      <w:proofErr w:type="spellStart"/>
      <w:r>
        <w:rPr>
          <w:rFonts w:ascii="Museo300" w:hAnsi="Museo300"/>
          <w:color w:val="666666"/>
          <w:sz w:val="23"/>
          <w:szCs w:val="23"/>
        </w:rPr>
        <w:t>энергоэффективность</w:t>
      </w:r>
      <w:proofErr w:type="spellEnd"/>
      <w:r>
        <w:rPr>
          <w:rFonts w:ascii="Museo300" w:hAnsi="Museo300"/>
          <w:color w:val="666666"/>
          <w:sz w:val="23"/>
          <w:szCs w:val="23"/>
        </w:rPr>
        <w:t xml:space="preserve"> как весь спектр продукции и технологических процессов, новых материалов и технологий поверхностного улучшения производительности и долговечности печи, эффективность потребления воды стиральных машин и маркетинговые исследования в ключевых международных рынках для того, чтобы определить дифференциальные предпочтения потребителей и поведение </w:t>
      </w:r>
      <w:proofErr w:type="spellStart"/>
      <w:r>
        <w:rPr>
          <w:rFonts w:ascii="Museo300" w:hAnsi="Museo300"/>
          <w:color w:val="666666"/>
          <w:sz w:val="23"/>
          <w:szCs w:val="23"/>
        </w:rPr>
        <w:t>потребителей</w:t>
      </w:r>
      <w:proofErr w:type="gramStart"/>
      <w:r>
        <w:rPr>
          <w:rFonts w:ascii="Museo300" w:hAnsi="Museo300"/>
          <w:color w:val="666666"/>
          <w:sz w:val="23"/>
          <w:szCs w:val="23"/>
        </w:rPr>
        <w:t>.О</w:t>
      </w:r>
      <w:proofErr w:type="gramEnd"/>
      <w:r>
        <w:rPr>
          <w:rFonts w:ascii="Museo300" w:hAnsi="Museo300"/>
          <w:color w:val="666666"/>
          <w:sz w:val="23"/>
          <w:szCs w:val="23"/>
        </w:rPr>
        <w:t>перации</w:t>
      </w:r>
      <w:proofErr w:type="spellEnd"/>
      <w:r>
        <w:rPr>
          <w:rFonts w:ascii="Museo300" w:hAnsi="Museo300"/>
          <w:color w:val="666666"/>
          <w:sz w:val="23"/>
          <w:szCs w:val="23"/>
        </w:rPr>
        <w:t>, такие как сборка компонентов продукта, вручную уточнения необходимой технической службы, мониторинг показателей эффективности, планирование внедрения инновации, интеграция результатов в продукты и процессы, являются обычными вещами для «МАБЕ» эксперты.</w:t>
      </w:r>
    </w:p>
    <w:p w:rsidR="007260DA" w:rsidRDefault="007260DA" w:rsidP="007260DA">
      <w:pPr>
        <w:pStyle w:val="a3"/>
        <w:shd w:val="clear" w:color="auto" w:fill="F3F1F3"/>
        <w:spacing w:before="0" w:beforeAutospacing="0" w:after="192" w:afterAutospacing="0" w:line="384" w:lineRule="atLeast"/>
        <w:jc w:val="both"/>
        <w:textAlignment w:val="baseline"/>
        <w:rPr>
          <w:rFonts w:ascii="Museo300" w:hAnsi="Museo300"/>
          <w:color w:val="666666"/>
          <w:sz w:val="23"/>
          <w:szCs w:val="23"/>
        </w:rPr>
      </w:pPr>
      <w:r>
        <w:rPr>
          <w:rFonts w:ascii="Museo300" w:hAnsi="Museo300"/>
          <w:color w:val="666666"/>
          <w:sz w:val="23"/>
          <w:szCs w:val="23"/>
        </w:rPr>
        <w:t xml:space="preserve">Третий пример относится к области машиностроения и перерабатывающей отрасли в стране Басков в Испании. Эти отрасли требуют коренной реконструкции после интеграции ранее закрытый рынок, который продемонстрировал неконкурентоспособность традиционных методов и продуктов. Существенная поддержка была оказана в рамках программы регионального развития ЕС. Полуавтономные </w:t>
      </w:r>
      <w:proofErr w:type="gramStart"/>
      <w:r>
        <w:rPr>
          <w:rFonts w:ascii="Museo300" w:hAnsi="Museo300"/>
          <w:color w:val="666666"/>
          <w:sz w:val="23"/>
          <w:szCs w:val="23"/>
        </w:rPr>
        <w:t>Баскский</w:t>
      </w:r>
      <w:proofErr w:type="gramEnd"/>
      <w:r>
        <w:rPr>
          <w:rFonts w:ascii="Museo300" w:hAnsi="Museo300"/>
          <w:color w:val="666666"/>
          <w:sz w:val="23"/>
          <w:szCs w:val="23"/>
        </w:rPr>
        <w:t xml:space="preserve"> агентство регионального развития поставлены четкие приоритеты.</w:t>
      </w:r>
      <w:r>
        <w:rPr>
          <w:rStyle w:val="apple-converted-space"/>
          <w:rFonts w:ascii="Museo300" w:hAnsi="Museo300"/>
          <w:color w:val="666666"/>
          <w:sz w:val="23"/>
          <w:szCs w:val="23"/>
        </w:rPr>
        <w:t> </w:t>
      </w:r>
      <w:r>
        <w:rPr>
          <w:rFonts w:ascii="Museo300" w:hAnsi="Museo300"/>
          <w:color w:val="666666"/>
          <w:sz w:val="23"/>
          <w:szCs w:val="23"/>
        </w:rPr>
        <w:t>Первым шагом стала трансформация традиционных институтов прикладных исследований в области энергетики, металлургии и других областях материаловедения, которая отстала от ведущих мировых организаций, и их переоснащение с целью создать конкурентное преимущество для фирмы в регионе. Тогда, в стране реализуется сетевой подход к решению взаимосвязанных и общих проблем, стоящих перед компаниями, которые ввели новые материалы, новые производственные процессы и новые продукты.</w:t>
      </w:r>
      <w:r>
        <w:rPr>
          <w:rStyle w:val="apple-converted-space"/>
          <w:rFonts w:ascii="Museo300" w:hAnsi="Museo300"/>
          <w:color w:val="666666"/>
          <w:sz w:val="23"/>
          <w:szCs w:val="23"/>
        </w:rPr>
        <w:t> </w:t>
      </w:r>
      <w:r>
        <w:rPr>
          <w:rFonts w:ascii="Museo300" w:hAnsi="Museo300"/>
          <w:color w:val="666666"/>
          <w:sz w:val="23"/>
          <w:szCs w:val="23"/>
        </w:rPr>
        <w:t xml:space="preserve">Эти нововведения выходят за старые границы отрасли, а влияние горизонтальных технологий, таких как ИКТ, компьютеризации и </w:t>
      </w:r>
      <w:proofErr w:type="spellStart"/>
      <w:r>
        <w:rPr>
          <w:rFonts w:ascii="Museo300" w:hAnsi="Museo300"/>
          <w:color w:val="666666"/>
          <w:sz w:val="23"/>
          <w:szCs w:val="23"/>
        </w:rPr>
        <w:t>нанотехнологий</w:t>
      </w:r>
      <w:proofErr w:type="spellEnd"/>
      <w:r>
        <w:rPr>
          <w:rFonts w:ascii="Museo300" w:hAnsi="Museo300"/>
          <w:color w:val="666666"/>
          <w:sz w:val="23"/>
          <w:szCs w:val="23"/>
        </w:rPr>
        <w:t xml:space="preserve">. Организационные инновации в исследовательских центрах были возбуждены два взаимодополняющих решения. </w:t>
      </w:r>
      <w:proofErr w:type="gramStart"/>
      <w:r>
        <w:rPr>
          <w:rFonts w:ascii="Museo300" w:hAnsi="Museo300"/>
          <w:color w:val="666666"/>
          <w:sz w:val="23"/>
          <w:szCs w:val="23"/>
        </w:rPr>
        <w:t>Во-первых, слияние интересов к созданию единой организации с возможностями в различных технологиях и ранее разделенные научно-исследовательских институтов.</w:t>
      </w:r>
      <w:proofErr w:type="gramEnd"/>
      <w:r>
        <w:rPr>
          <w:rFonts w:ascii="Museo300" w:hAnsi="Museo300"/>
          <w:color w:val="666666"/>
          <w:sz w:val="23"/>
          <w:szCs w:val="23"/>
        </w:rPr>
        <w:t xml:space="preserve"> Во-вторых, сети альянса, в котором сотрудничество является основой командной работы, и стороны не сливаются в одну организацию.</w:t>
      </w:r>
      <w:r>
        <w:rPr>
          <w:rStyle w:val="apple-converted-space"/>
          <w:rFonts w:ascii="Museo300" w:hAnsi="Museo300"/>
          <w:color w:val="666666"/>
          <w:sz w:val="23"/>
          <w:szCs w:val="23"/>
        </w:rPr>
        <w:t> </w:t>
      </w:r>
      <w:r>
        <w:rPr>
          <w:rFonts w:ascii="Museo300" w:hAnsi="Museo300"/>
          <w:color w:val="666666"/>
          <w:sz w:val="23"/>
          <w:szCs w:val="23"/>
        </w:rPr>
        <w:t xml:space="preserve">Хотя в ходе реконструкции была оказана некоторая помощь, основной принцип стратегии руководства институтов, директоров коммерческих компаний и коммерческих философия финансов, согласно </w:t>
      </w:r>
      <w:proofErr w:type="gramStart"/>
      <w:r>
        <w:rPr>
          <w:rFonts w:ascii="Museo300" w:hAnsi="Museo300"/>
          <w:color w:val="666666"/>
          <w:sz w:val="23"/>
          <w:szCs w:val="23"/>
        </w:rPr>
        <w:t>которому</w:t>
      </w:r>
      <w:proofErr w:type="gramEnd"/>
      <w:r>
        <w:rPr>
          <w:rFonts w:ascii="Museo300" w:hAnsi="Museo300"/>
          <w:color w:val="666666"/>
          <w:sz w:val="23"/>
          <w:szCs w:val="23"/>
        </w:rPr>
        <w:t xml:space="preserve"> большая часть операционных доходов поступает от взносов и оплаты услуг фирм-участников.</w:t>
      </w:r>
    </w:p>
    <w:p w:rsidR="007260DA" w:rsidRDefault="007260DA" w:rsidP="007260DA">
      <w:pPr>
        <w:pStyle w:val="a3"/>
        <w:shd w:val="clear" w:color="auto" w:fill="F3F1F3"/>
        <w:spacing w:before="0" w:beforeAutospacing="0" w:after="192" w:afterAutospacing="0" w:line="384" w:lineRule="atLeast"/>
        <w:jc w:val="both"/>
        <w:textAlignment w:val="baseline"/>
        <w:rPr>
          <w:rFonts w:ascii="Museo300" w:hAnsi="Museo300"/>
          <w:color w:val="666666"/>
          <w:sz w:val="23"/>
          <w:szCs w:val="23"/>
        </w:rPr>
      </w:pPr>
      <w:r>
        <w:rPr>
          <w:rFonts w:ascii="Museo300" w:hAnsi="Museo300"/>
          <w:color w:val="666666"/>
          <w:sz w:val="23"/>
          <w:szCs w:val="23"/>
        </w:rPr>
        <w:t>Хотя каждый из этих примеров является результатом различных обстоятельств, в каждом из них главной задачей было добиться коммерческой выгоды и поощрения стратегии повышения конкурентоспособности на основе инноваций за счет использования знаний, что является необходимым условием для выживания и успеха в конкуренции на международных рынках.</w:t>
      </w:r>
    </w:p>
    <w:p w:rsidR="007260DA" w:rsidRDefault="007260DA" w:rsidP="007260DA">
      <w:pPr>
        <w:pStyle w:val="a3"/>
        <w:shd w:val="clear" w:color="auto" w:fill="F3F1F3"/>
        <w:spacing w:before="0" w:beforeAutospacing="0" w:after="192" w:afterAutospacing="0" w:line="384" w:lineRule="atLeast"/>
        <w:jc w:val="both"/>
        <w:textAlignment w:val="baseline"/>
        <w:rPr>
          <w:rFonts w:ascii="Museo300" w:hAnsi="Museo300"/>
          <w:color w:val="666666"/>
          <w:sz w:val="23"/>
          <w:szCs w:val="23"/>
        </w:rPr>
      </w:pPr>
      <w:r>
        <w:rPr>
          <w:rFonts w:ascii="Museo300" w:hAnsi="Museo300"/>
          <w:color w:val="666666"/>
          <w:sz w:val="23"/>
          <w:szCs w:val="23"/>
        </w:rPr>
        <w:lastRenderedPageBreak/>
        <w:t xml:space="preserve">Конкурсы на </w:t>
      </w:r>
      <w:proofErr w:type="spellStart"/>
      <w:r>
        <w:rPr>
          <w:rFonts w:ascii="Museo300" w:hAnsi="Museo300"/>
          <w:color w:val="666666"/>
          <w:sz w:val="23"/>
          <w:szCs w:val="23"/>
        </w:rPr>
        <w:t>Грантовые</w:t>
      </w:r>
      <w:proofErr w:type="spellEnd"/>
      <w:r>
        <w:rPr>
          <w:rFonts w:ascii="Museo300" w:hAnsi="Museo300"/>
          <w:color w:val="666666"/>
          <w:sz w:val="23"/>
          <w:szCs w:val="23"/>
        </w:rPr>
        <w:t xml:space="preserve"> программы для консорциумов производственного сектора и консорциумов инклюзивных инноваций пройдет в рамках "содействия </w:t>
      </w:r>
      <w:proofErr w:type="gramStart"/>
      <w:r>
        <w:rPr>
          <w:rFonts w:ascii="Museo300" w:hAnsi="Museo300"/>
          <w:color w:val="666666"/>
          <w:sz w:val="23"/>
          <w:szCs w:val="23"/>
        </w:rPr>
        <w:t>плодотворному</w:t>
      </w:r>
      <w:proofErr w:type="gramEnd"/>
      <w:r>
        <w:rPr>
          <w:rFonts w:ascii="Museo300" w:hAnsi="Museo300"/>
          <w:color w:val="666666"/>
          <w:sz w:val="23"/>
          <w:szCs w:val="23"/>
        </w:rPr>
        <w:t xml:space="preserve"> инновационный проект".</w:t>
      </w:r>
    </w:p>
    <w:p w:rsidR="007260DA" w:rsidRDefault="007260DA" w:rsidP="007260DA">
      <w:pPr>
        <w:pStyle w:val="a3"/>
        <w:shd w:val="clear" w:color="auto" w:fill="F3F1F3"/>
        <w:spacing w:before="0" w:beforeAutospacing="0" w:after="192" w:afterAutospacing="0" w:line="384" w:lineRule="atLeast"/>
        <w:jc w:val="both"/>
        <w:textAlignment w:val="baseline"/>
        <w:rPr>
          <w:rFonts w:ascii="Museo300" w:hAnsi="Museo300"/>
          <w:color w:val="666666"/>
          <w:sz w:val="23"/>
          <w:szCs w:val="23"/>
        </w:rPr>
      </w:pPr>
      <w:r>
        <w:rPr>
          <w:rFonts w:ascii="Museo300" w:hAnsi="Museo300"/>
          <w:color w:val="666666"/>
          <w:sz w:val="23"/>
          <w:szCs w:val="23"/>
        </w:rPr>
        <w:t>Компонент "инновационный консорциум" считает, что подача заявки на следующих двух конкурсах:</w:t>
      </w:r>
    </w:p>
    <w:p w:rsidR="007260DA" w:rsidRDefault="007260DA" w:rsidP="007260DA">
      <w:pPr>
        <w:pStyle w:val="a3"/>
        <w:shd w:val="clear" w:color="auto" w:fill="F3F1F3"/>
        <w:spacing w:before="0" w:beforeAutospacing="0" w:after="0" w:afterAutospacing="0" w:line="384" w:lineRule="atLeast"/>
        <w:jc w:val="both"/>
        <w:textAlignment w:val="baseline"/>
        <w:rPr>
          <w:rFonts w:ascii="Museo300" w:hAnsi="Museo300"/>
          <w:color w:val="666666"/>
          <w:sz w:val="23"/>
          <w:szCs w:val="23"/>
        </w:rPr>
      </w:pPr>
      <w:r>
        <w:rPr>
          <w:rStyle w:val="a4"/>
          <w:rFonts w:ascii="Museo500" w:hAnsi="Museo500"/>
          <w:color w:val="1D1D1D"/>
          <w:sz w:val="23"/>
          <w:szCs w:val="23"/>
          <w:bdr w:val="none" w:sz="0" w:space="0" w:color="auto" w:frame="1"/>
        </w:rPr>
        <w:t xml:space="preserve">Подкомпонент 2.1. Консорциумов производственного сектора: консорциум, созданный для улучшения производственных секторах экономики, включая сельское хозяйство, </w:t>
      </w:r>
      <w:proofErr w:type="gramStart"/>
      <w:r>
        <w:rPr>
          <w:rStyle w:val="a4"/>
          <w:rFonts w:ascii="Museo500" w:hAnsi="Museo500"/>
          <w:color w:val="1D1D1D"/>
          <w:sz w:val="23"/>
          <w:szCs w:val="23"/>
          <w:bdr w:val="none" w:sz="0" w:space="0" w:color="auto" w:frame="1"/>
        </w:rPr>
        <w:t>добывающую</w:t>
      </w:r>
      <w:proofErr w:type="gramEnd"/>
      <w:r>
        <w:rPr>
          <w:rStyle w:val="a4"/>
          <w:rFonts w:ascii="Museo500" w:hAnsi="Museo500"/>
          <w:color w:val="1D1D1D"/>
          <w:sz w:val="23"/>
          <w:szCs w:val="23"/>
          <w:bdr w:val="none" w:sz="0" w:space="0" w:color="auto" w:frame="1"/>
        </w:rPr>
        <w:t xml:space="preserve"> и обрабатывающую промышленности.</w:t>
      </w:r>
    </w:p>
    <w:p w:rsidR="007260DA" w:rsidRDefault="007260DA" w:rsidP="007260DA">
      <w:pPr>
        <w:pStyle w:val="a3"/>
        <w:shd w:val="clear" w:color="auto" w:fill="F3F1F3"/>
        <w:spacing w:before="0" w:beforeAutospacing="0" w:after="0" w:afterAutospacing="0" w:line="384" w:lineRule="atLeast"/>
        <w:jc w:val="both"/>
        <w:textAlignment w:val="baseline"/>
        <w:rPr>
          <w:rFonts w:ascii="Museo300" w:hAnsi="Museo300"/>
          <w:color w:val="666666"/>
          <w:sz w:val="23"/>
          <w:szCs w:val="23"/>
        </w:rPr>
      </w:pPr>
      <w:r>
        <w:rPr>
          <w:rStyle w:val="a4"/>
          <w:rFonts w:ascii="Museo500" w:hAnsi="Museo500"/>
          <w:color w:val="1D1D1D"/>
          <w:sz w:val="23"/>
          <w:szCs w:val="23"/>
          <w:bdr w:val="none" w:sz="0" w:space="0" w:color="auto" w:frame="1"/>
        </w:rPr>
        <w:t>Подкомпонент 2.2. Консорциумов инклюзивных инноваций: консорциум создан с целью повышения качества и предоставления социальных услуг (здравоохранение, образование, доступ к питьевой воде, городской и сельской инфраструктуры) по повышению уровня жизни городского и сельского населения.</w:t>
      </w:r>
    </w:p>
    <w:p w:rsidR="00BF7989" w:rsidRDefault="00BF7989"/>
    <w:sectPr w:rsidR="00BF7989" w:rsidSect="00BF7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useo3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useo5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227B"/>
    <w:multiLevelType w:val="multilevel"/>
    <w:tmpl w:val="14242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260DA"/>
    <w:rsid w:val="001A4107"/>
    <w:rsid w:val="00240DB0"/>
    <w:rsid w:val="00245D2B"/>
    <w:rsid w:val="002B5BAC"/>
    <w:rsid w:val="00503895"/>
    <w:rsid w:val="00521F24"/>
    <w:rsid w:val="007260DA"/>
    <w:rsid w:val="00795FE1"/>
    <w:rsid w:val="008F3E7C"/>
    <w:rsid w:val="009F63CF"/>
    <w:rsid w:val="00AF6770"/>
    <w:rsid w:val="00BF7989"/>
    <w:rsid w:val="00C400D9"/>
    <w:rsid w:val="00D00FF1"/>
    <w:rsid w:val="00DC3B9B"/>
    <w:rsid w:val="00E87407"/>
    <w:rsid w:val="00F06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89"/>
  </w:style>
  <w:style w:type="paragraph" w:styleId="1">
    <w:name w:val="heading 1"/>
    <w:basedOn w:val="a"/>
    <w:next w:val="a"/>
    <w:link w:val="10"/>
    <w:uiPriority w:val="9"/>
    <w:qFormat/>
    <w:rsid w:val="007260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260DA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260DA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60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260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60D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0DA"/>
    <w:rPr>
      <w:b/>
      <w:bCs/>
    </w:rPr>
  </w:style>
  <w:style w:type="character" w:styleId="a5">
    <w:name w:val="Hyperlink"/>
    <w:basedOn w:val="a0"/>
    <w:uiPriority w:val="99"/>
    <w:semiHidden/>
    <w:unhideWhenUsed/>
    <w:rsid w:val="007260D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260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7260DA"/>
  </w:style>
  <w:style w:type="paragraph" w:styleId="a6">
    <w:name w:val="Balloon Text"/>
    <w:basedOn w:val="a"/>
    <w:link w:val="a7"/>
    <w:uiPriority w:val="99"/>
    <w:semiHidden/>
    <w:unhideWhenUsed/>
    <w:rsid w:val="007260DA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0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97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65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74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69458">
                                  <w:marLeft w:val="0"/>
                                  <w:marRight w:val="0"/>
                                  <w:marTop w:val="0"/>
                                  <w:marBottom w:val="15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5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4" w:color="auto"/>
                                        <w:left w:val="none" w:sz="0" w:space="0" w:color="auto"/>
                                        <w:bottom w:val="single" w:sz="8" w:space="19" w:color="CFCFCF"/>
                                        <w:right w:val="none" w:sz="0" w:space="0" w:color="auto"/>
                                      </w:divBdr>
                                      <w:divsChild>
                                        <w:div w:id="192610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26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311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4283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8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9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49691">
          <w:marLeft w:val="0"/>
          <w:marRight w:val="0"/>
          <w:marTop w:val="0"/>
          <w:marBottom w:val="0"/>
          <w:divBdr>
            <w:top w:val="none" w:sz="0" w:space="14" w:color="auto"/>
            <w:left w:val="none" w:sz="0" w:space="0" w:color="auto"/>
            <w:bottom w:val="single" w:sz="8" w:space="19" w:color="CFCFCF"/>
            <w:right w:val="none" w:sz="0" w:space="0" w:color="auto"/>
          </w:divBdr>
          <w:divsChild>
            <w:div w:id="65387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pip.kz/index.php/en/grantovye-programmy-3/konsortsiumy-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pip.kz/index.php/en/grantovye-programmy-3/phd-en" TargetMode="External"/><Relationship Id="rId5" Type="http://schemas.openxmlformats.org/officeDocument/2006/relationships/hyperlink" Target="http://www.fpip.kz/index.php/en/grantovye-programmy-3/gsns-i-gmns-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1216</Words>
  <Characters>6933</Characters>
  <Application>Microsoft Office Word</Application>
  <DocSecurity>0</DocSecurity>
  <Lines>57</Lines>
  <Paragraphs>16</Paragraphs>
  <ScaleCrop>false</ScaleCrop>
  <Company/>
  <LinksUpToDate>false</LinksUpToDate>
  <CharactersWithSpaces>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imotshina</dc:creator>
  <cp:keywords/>
  <dc:description/>
  <cp:lastModifiedBy>imotshina</cp:lastModifiedBy>
  <cp:revision>1</cp:revision>
  <dcterms:created xsi:type="dcterms:W3CDTF">2016-09-02T03:36:00Z</dcterms:created>
  <dcterms:modified xsi:type="dcterms:W3CDTF">2016-09-02T03:40:00Z</dcterms:modified>
</cp:coreProperties>
</file>